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284" w:rsidRDefault="00A166E0" w:rsidP="00662284">
      <w:pPr>
        <w:pStyle w:val="SemEspaamento"/>
      </w:pPr>
      <w:r>
        <w:t xml:space="preserve">Emenda Aditiva </w:t>
      </w:r>
      <w:r w:rsidR="00D70F47">
        <w:t xml:space="preserve"> nº</w:t>
      </w:r>
      <w:r w:rsidR="00FC1569">
        <w:t>. 001.10/2025</w:t>
      </w:r>
      <w:r w:rsidR="00662284">
        <w:t>.</w:t>
      </w:r>
    </w:p>
    <w:p w:rsidR="00662284" w:rsidRDefault="002077D8" w:rsidP="00662284">
      <w:pPr>
        <w:pStyle w:val="SemEspaamento"/>
      </w:pPr>
      <w:r>
        <w:t xml:space="preserve">Ao Projeto de Lei nº. </w:t>
      </w:r>
      <w:r w:rsidR="00A166E0">
        <w:t>3032</w:t>
      </w:r>
      <w:r w:rsidR="00662284">
        <w:t>.</w:t>
      </w:r>
      <w:r w:rsidR="00FC1569">
        <w:t>10/2025</w:t>
      </w:r>
    </w:p>
    <w:p w:rsidR="00662284" w:rsidRDefault="00A166E0" w:rsidP="00662284">
      <w:pPr>
        <w:pStyle w:val="SemEspaamento"/>
      </w:pPr>
      <w:r>
        <w:t>Autoria: Mesa Diretora</w:t>
      </w:r>
      <w:r w:rsidR="00662284">
        <w:t>.</w:t>
      </w:r>
    </w:p>
    <w:p w:rsidR="00827CF4" w:rsidRDefault="00827CF4" w:rsidP="00662284">
      <w:pPr>
        <w:pStyle w:val="SemEspaamento"/>
      </w:pPr>
    </w:p>
    <w:p w:rsidR="00D61A99" w:rsidRDefault="00FC1569" w:rsidP="00D61A99">
      <w:pPr>
        <w:pStyle w:val="SemEspaamento"/>
      </w:pPr>
      <w:r>
        <w:t xml:space="preserve"> </w:t>
      </w:r>
      <w:r w:rsidR="00662284">
        <w:t>Senhor Presid</w:t>
      </w:r>
      <w:r w:rsidR="002077D8">
        <w:t xml:space="preserve">ente </w:t>
      </w:r>
      <w:r w:rsidR="00662284">
        <w:t xml:space="preserve">Senhores </w:t>
      </w:r>
    </w:p>
    <w:p w:rsidR="00662284" w:rsidRDefault="00662284" w:rsidP="00D61A99">
      <w:pPr>
        <w:pStyle w:val="SemEspaamento"/>
      </w:pPr>
      <w:r>
        <w:t>Vereadores</w:t>
      </w:r>
    </w:p>
    <w:p w:rsidR="00662284" w:rsidRDefault="00662284" w:rsidP="002077D8">
      <w:pPr>
        <w:jc w:val="center"/>
      </w:pPr>
    </w:p>
    <w:p w:rsidR="00A166E0" w:rsidRPr="00585395" w:rsidRDefault="00662284" w:rsidP="00585395">
      <w:pPr>
        <w:jc w:val="both"/>
        <w:rPr>
          <w:rFonts w:cstheme="minorHAnsi"/>
          <w:color w:val="000000" w:themeColor="text1"/>
        </w:rPr>
      </w:pPr>
      <w:r>
        <w:t xml:space="preserve">        </w:t>
      </w:r>
      <w:r>
        <w:tab/>
      </w:r>
      <w:r>
        <w:tab/>
      </w:r>
      <w:r w:rsidRPr="009B2362">
        <w:rPr>
          <w:rFonts w:cstheme="minorHAnsi"/>
        </w:rPr>
        <w:tab/>
        <w:t xml:space="preserve"> Os Vereadores que esta subscreve, solicitam a essa Presidência que apresente a apreciação do plenário nos termos regiment</w:t>
      </w:r>
      <w:r w:rsidR="00A166E0">
        <w:rPr>
          <w:rFonts w:cstheme="minorHAnsi"/>
        </w:rPr>
        <w:t>ais a presente Emenda aditiva</w:t>
      </w:r>
      <w:r w:rsidR="00F711CF">
        <w:rPr>
          <w:rFonts w:cstheme="minorHAnsi"/>
        </w:rPr>
        <w:t xml:space="preserve"> </w:t>
      </w:r>
      <w:r w:rsidRPr="009B2362">
        <w:rPr>
          <w:rFonts w:cstheme="minorHAnsi"/>
        </w:rPr>
        <w:t>n.º</w:t>
      </w:r>
      <w:r w:rsidR="00FC1569">
        <w:rPr>
          <w:rFonts w:cstheme="minorHAnsi"/>
        </w:rPr>
        <w:t xml:space="preserve"> 001.10/2025</w:t>
      </w:r>
      <w:r w:rsidRPr="009B2362">
        <w:rPr>
          <w:rFonts w:cstheme="minorHAnsi"/>
        </w:rPr>
        <w:t xml:space="preserve"> ao Projeto de Lei nº </w:t>
      </w:r>
      <w:r w:rsidR="00A166E0">
        <w:rPr>
          <w:rFonts w:cstheme="minorHAnsi"/>
          <w:color w:val="000000" w:themeColor="text1"/>
        </w:rPr>
        <w:t>3032.10, de 22 de setembro</w:t>
      </w:r>
      <w:r w:rsidR="00FC1569" w:rsidRPr="00FC1569">
        <w:rPr>
          <w:rFonts w:cstheme="minorHAnsi"/>
          <w:color w:val="000000" w:themeColor="text1"/>
        </w:rPr>
        <w:t xml:space="preserve"> de 2025</w:t>
      </w:r>
      <w:r w:rsidR="009B2362" w:rsidRPr="00FC1569">
        <w:rPr>
          <w:rFonts w:cstheme="minorHAnsi"/>
          <w:color w:val="000000" w:themeColor="text1"/>
        </w:rPr>
        <w:t>,</w:t>
      </w:r>
      <w:r w:rsidR="009B2362" w:rsidRPr="009B2362">
        <w:rPr>
          <w:rFonts w:cstheme="minorHAnsi"/>
          <w:b/>
          <w:color w:val="000000" w:themeColor="text1"/>
        </w:rPr>
        <w:t xml:space="preserve"> </w:t>
      </w:r>
      <w:r w:rsidR="00A166E0">
        <w:rPr>
          <w:rFonts w:cstheme="minorHAnsi"/>
          <w:color w:val="000000" w:themeColor="text1"/>
        </w:rPr>
        <w:t>que</w:t>
      </w:r>
      <w:r w:rsidR="00F711CF">
        <w:rPr>
          <w:rFonts w:cstheme="minorHAnsi"/>
          <w:color w:val="000000" w:themeColor="text1"/>
        </w:rPr>
        <w:t xml:space="preserve"> </w:t>
      </w:r>
      <w:r w:rsidR="00F711CF" w:rsidRPr="00346598">
        <w:rPr>
          <w:rFonts w:ascii="Calibri" w:hAnsi="Calibri" w:cs="Calibri"/>
          <w:b/>
          <w:bCs/>
        </w:rPr>
        <w:t>Dispõe sobre as diretrizes orçamentárias para o exercício financeiro de 2026</w:t>
      </w:r>
      <w:r w:rsidR="00F711CF">
        <w:rPr>
          <w:rFonts w:ascii="Calibri" w:hAnsi="Calibri" w:cs="Calibri"/>
          <w:b/>
          <w:bCs/>
        </w:rPr>
        <w:t xml:space="preserve">, </w:t>
      </w:r>
      <w:r w:rsidR="00F711CF" w:rsidRPr="00585395">
        <w:rPr>
          <w:rFonts w:ascii="Calibri" w:hAnsi="Calibri" w:cs="Calibri"/>
          <w:bCs/>
        </w:rPr>
        <w:t>que</w:t>
      </w:r>
      <w:r w:rsidR="00F711CF">
        <w:rPr>
          <w:rFonts w:ascii="Calibri" w:hAnsi="Calibri" w:cs="Calibri"/>
          <w:b/>
          <w:bCs/>
        </w:rPr>
        <w:t xml:space="preserve"> </w:t>
      </w:r>
      <w:r w:rsidR="00A166E0">
        <w:rPr>
          <w:rFonts w:cstheme="minorHAnsi"/>
          <w:color w:val="000000" w:themeColor="text1"/>
        </w:rPr>
        <w:t xml:space="preserve"> adiciona </w:t>
      </w:r>
      <w:r w:rsidR="00F711CF">
        <w:rPr>
          <w:rFonts w:cs="Calibri"/>
          <w:b/>
        </w:rPr>
        <w:t xml:space="preserve">Subseção II- Das Subvenções Econômicas </w:t>
      </w:r>
      <w:r w:rsidR="00A166E0" w:rsidRPr="0084701C">
        <w:rPr>
          <w:rFonts w:cs="Calibri"/>
          <w:b/>
        </w:rPr>
        <w:t>- Do Regime de Aprovação e Execução das Emendas Individuais</w:t>
      </w:r>
      <w:r w:rsidR="00FC1569">
        <w:rPr>
          <w:rFonts w:cstheme="minorHAnsi"/>
          <w:color w:val="000000" w:themeColor="text1"/>
        </w:rPr>
        <w:t>, e</w:t>
      </w:r>
      <w:r w:rsidR="00F711CF">
        <w:rPr>
          <w:rFonts w:cstheme="minorHAnsi"/>
          <w:color w:val="000000" w:themeColor="text1"/>
        </w:rPr>
        <w:t xml:space="preserve"> renomeia os demais artigos do projeto .</w:t>
      </w:r>
    </w:p>
    <w:p w:rsidR="00A166E0" w:rsidRPr="00585395" w:rsidRDefault="00F711CF" w:rsidP="00A166E0">
      <w:pPr>
        <w:jc w:val="both"/>
        <w:rPr>
          <w:rFonts w:cs="Calibri"/>
          <w:b/>
        </w:rPr>
      </w:pPr>
      <w:r>
        <w:rPr>
          <w:rFonts w:cs="Calibri"/>
          <w:b/>
        </w:rPr>
        <w:t xml:space="preserve">II- Das Subvenções Econômicas </w:t>
      </w:r>
      <w:r w:rsidR="00A166E0" w:rsidRPr="0084701C">
        <w:rPr>
          <w:rFonts w:cs="Calibri"/>
          <w:b/>
        </w:rPr>
        <w:t>- Do Regime de Aprovação e Execução das Emendas Individuais</w:t>
      </w:r>
    </w:p>
    <w:p w:rsidR="00A166E0" w:rsidRPr="0084701C" w:rsidRDefault="00A166E0" w:rsidP="00A166E0">
      <w:pPr>
        <w:spacing w:line="276" w:lineRule="auto"/>
        <w:jc w:val="both"/>
        <w:rPr>
          <w:rFonts w:cs="Calibri"/>
        </w:rPr>
      </w:pPr>
      <w:r>
        <w:rPr>
          <w:rFonts w:cs="Calibri"/>
        </w:rPr>
        <w:t>Art. 35</w:t>
      </w:r>
      <w:r w:rsidRPr="0084701C">
        <w:rPr>
          <w:rFonts w:cs="Calibri"/>
        </w:rPr>
        <w:t>. Sem prejuízo do disposto na Constituição Federal e na Lei Orgânica do Município, o regime de aprovação e execução das emendas individuais ao projeto de lei orçamentária atenderá ao disposto nesta subseção.</w:t>
      </w:r>
    </w:p>
    <w:p w:rsidR="00A166E0" w:rsidRPr="0084701C" w:rsidRDefault="00A166E0" w:rsidP="00A166E0">
      <w:pPr>
        <w:spacing w:line="276" w:lineRule="auto"/>
        <w:jc w:val="both"/>
        <w:rPr>
          <w:rFonts w:cs="Calibri"/>
        </w:rPr>
      </w:pPr>
      <w:r>
        <w:rPr>
          <w:rFonts w:cs="Calibri"/>
        </w:rPr>
        <w:t>Art. 36</w:t>
      </w:r>
      <w:r w:rsidRPr="0084701C">
        <w:rPr>
          <w:rFonts w:cs="Calibri"/>
        </w:rPr>
        <w:t>. É obrigatória a execução orçamentária e financeira, de forma equitativa, das programações decorrentes de emendas individuais aprovadas ao projeto de lei orçamentária, observado, na execução, o disposto no</w:t>
      </w:r>
      <w:r>
        <w:rPr>
          <w:rFonts w:cs="Calibri"/>
        </w:rPr>
        <w:t xml:space="preserve"> </w:t>
      </w:r>
      <w:r w:rsidRPr="0084701C">
        <w:rPr>
          <w:rFonts w:cs="Calibri"/>
        </w:rPr>
        <w:t>§ 11 do art. 166 da Constituição.</w:t>
      </w:r>
    </w:p>
    <w:p w:rsidR="00A166E0" w:rsidRPr="0084701C" w:rsidRDefault="00A166E0" w:rsidP="00A166E0">
      <w:pPr>
        <w:spacing w:line="276" w:lineRule="auto"/>
        <w:jc w:val="both"/>
        <w:rPr>
          <w:rFonts w:cs="Calibri"/>
        </w:rPr>
      </w:pPr>
      <w:r w:rsidRPr="0084701C">
        <w:rPr>
          <w:rFonts w:cs="Calibri"/>
        </w:rPr>
        <w:t>§ 1º Considera-se equitativa a execução das programações de caráter obrigatório que observe critérios objetivos e imparciais e que atenda de forma igualitária e impessoal às emendas apresentadas, independentemente da autoria.</w:t>
      </w:r>
    </w:p>
    <w:p w:rsidR="00A166E0" w:rsidRPr="0084701C" w:rsidRDefault="00A166E0" w:rsidP="00A166E0">
      <w:pPr>
        <w:spacing w:line="276" w:lineRule="auto"/>
        <w:jc w:val="both"/>
        <w:rPr>
          <w:rFonts w:cs="Calibri"/>
        </w:rPr>
      </w:pPr>
      <w:r w:rsidRPr="0084701C">
        <w:rPr>
          <w:rFonts w:cs="Calibri"/>
        </w:rPr>
        <w:t>§ 2º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A166E0" w:rsidRPr="0084701C" w:rsidRDefault="00A166E0" w:rsidP="00A166E0">
      <w:pPr>
        <w:spacing w:line="276" w:lineRule="auto"/>
        <w:jc w:val="both"/>
        <w:rPr>
          <w:rFonts w:cs="Calibri"/>
        </w:rPr>
      </w:pPr>
      <w:r w:rsidRPr="0084701C">
        <w:rPr>
          <w:rFonts w:cs="Calibri"/>
        </w:rPr>
        <w:t>§ 3º Ressalvada a ocorrência de impedimentos cujo prazo para superação inviabilize reconhecimento da despesa até o final do exercício financeiro, entende-se por:</w:t>
      </w:r>
    </w:p>
    <w:p w:rsidR="00A166E0" w:rsidRPr="0084701C" w:rsidRDefault="00A166E0" w:rsidP="00A166E0">
      <w:pPr>
        <w:spacing w:line="276" w:lineRule="auto"/>
        <w:jc w:val="both"/>
        <w:rPr>
          <w:rFonts w:cs="Calibri"/>
        </w:rPr>
      </w:pPr>
      <w:r w:rsidRPr="0084701C">
        <w:rPr>
          <w:rFonts w:cs="Calibri"/>
        </w:rPr>
        <w:t xml:space="preserve">I - execução orçamentária: o empenho e a liquidação da despesa, inclusive a sua inscrição em restos a pagar; </w:t>
      </w:r>
    </w:p>
    <w:p w:rsidR="00A166E0" w:rsidRPr="0084701C" w:rsidRDefault="00A166E0" w:rsidP="00A166E0">
      <w:pPr>
        <w:spacing w:line="276" w:lineRule="auto"/>
        <w:jc w:val="both"/>
        <w:rPr>
          <w:rFonts w:cs="Calibri"/>
        </w:rPr>
      </w:pPr>
      <w:r w:rsidRPr="0084701C">
        <w:rPr>
          <w:rFonts w:cs="Calibri"/>
        </w:rPr>
        <w:t xml:space="preserve">III - execução financeira: o pagamento da despesa, inclusive dos restos a pagar que deverá corresponder, no mínimo, à metade do montante total das programações das emendas individuais. </w:t>
      </w:r>
    </w:p>
    <w:p w:rsidR="00A166E0" w:rsidRPr="0084701C" w:rsidRDefault="00A166E0" w:rsidP="00A166E0">
      <w:pPr>
        <w:spacing w:line="276" w:lineRule="auto"/>
        <w:jc w:val="both"/>
        <w:rPr>
          <w:rFonts w:cs="Calibri"/>
        </w:rPr>
      </w:pPr>
      <w:r w:rsidRPr="0084701C">
        <w:rPr>
          <w:rFonts w:cs="Calibri"/>
        </w:rPr>
        <w:lastRenderedPageBreak/>
        <w:t>§ 4º Na ocorrência de situação que determine a limitação de empenhos e movimentação financeira nos termos do art. 20 desta Lei, a execução orçamentária das programações orçamentárias das emendas poderá ser reduzida na mesma proporção.</w:t>
      </w:r>
    </w:p>
    <w:p w:rsidR="00A166E0" w:rsidRDefault="00A166E0" w:rsidP="00A166E0">
      <w:pPr>
        <w:spacing w:line="276" w:lineRule="auto"/>
        <w:jc w:val="both"/>
        <w:rPr>
          <w:rFonts w:cs="Calibri"/>
        </w:rPr>
      </w:pPr>
      <w:r>
        <w:rPr>
          <w:rFonts w:cs="Calibri"/>
        </w:rPr>
        <w:t>Art. 37</w:t>
      </w:r>
      <w:r w:rsidRPr="0084701C">
        <w:rPr>
          <w:rFonts w:cs="Calibri"/>
        </w:rPr>
        <w:t xml:space="preserve">. Para fins de atendimento ao disposto nesta Subseção, constará no </w:t>
      </w:r>
      <w:r w:rsidRPr="0084701C">
        <w:rPr>
          <w:rFonts w:cs="Calibri"/>
          <w:bCs/>
        </w:rPr>
        <w:t>Projeto de Lei Orçamentária</w:t>
      </w:r>
      <w:r w:rsidRPr="0084701C">
        <w:rPr>
          <w:rFonts w:cs="Calibri"/>
        </w:rPr>
        <w:t xml:space="preserve"> reserva de contingência de </w:t>
      </w:r>
      <w:r>
        <w:rPr>
          <w:rFonts w:cs="Calibri"/>
        </w:rPr>
        <w:t>1,2</w:t>
      </w:r>
      <w:r w:rsidRPr="0084701C">
        <w:rPr>
          <w:rFonts w:cs="Calibri"/>
        </w:rPr>
        <w:t>% (</w:t>
      </w:r>
      <w:r>
        <w:rPr>
          <w:rFonts w:cs="Calibri"/>
        </w:rPr>
        <w:t xml:space="preserve">um </w:t>
      </w:r>
      <w:r w:rsidRPr="0084701C">
        <w:rPr>
          <w:rFonts w:cs="Calibri"/>
        </w:rPr>
        <w:t>por cento) da receita corrente líquida arrecadada no exercício financeiro de 202</w:t>
      </w:r>
      <w:r>
        <w:rPr>
          <w:rFonts w:cs="Calibri"/>
        </w:rPr>
        <w:t>4.</w:t>
      </w:r>
    </w:p>
    <w:p w:rsidR="00A166E0" w:rsidRPr="0084701C" w:rsidRDefault="00A166E0" w:rsidP="00A166E0">
      <w:pPr>
        <w:spacing w:line="276" w:lineRule="auto"/>
        <w:jc w:val="both"/>
        <w:rPr>
          <w:rFonts w:cs="Calibri"/>
        </w:rPr>
      </w:pPr>
      <w:r w:rsidRPr="0084701C">
        <w:rPr>
          <w:rFonts w:cs="Calibri"/>
        </w:rPr>
        <w:t>§ 1º Para fins de cálculo do valor da reserva referida no, considerar-se-á a metodologia estabelecida na Instrução Normativa nº 13/2022, do Tribunal de Contas do Estado ou a norma que lhe for superveniente, para a definição do valor da Receita Corrente Líquida.</w:t>
      </w:r>
    </w:p>
    <w:p w:rsidR="00A166E0" w:rsidRPr="0084701C" w:rsidRDefault="00A166E0" w:rsidP="00A166E0">
      <w:pPr>
        <w:spacing w:line="276" w:lineRule="auto"/>
        <w:jc w:val="both"/>
        <w:rPr>
          <w:rFonts w:cs="Calibri"/>
        </w:rPr>
      </w:pPr>
      <w:r w:rsidRPr="0084701C">
        <w:rPr>
          <w:rFonts w:cs="Calibri"/>
        </w:rPr>
        <w:t xml:space="preserve">§ 2º Para apresentação das emendas individuais, o valor total por autor será obtido a partir da divisão do montante estabelecido no caput pelo número de vereadores com assento da Câmara Municipal, vedada qualquer forma de cessão ou transferência do limite individual entre vereadores ou entre bancadas. </w:t>
      </w:r>
    </w:p>
    <w:p w:rsidR="00A166E0" w:rsidRPr="0084701C" w:rsidRDefault="00A166E0" w:rsidP="00A166E0">
      <w:pPr>
        <w:spacing w:line="276" w:lineRule="auto"/>
        <w:jc w:val="both"/>
        <w:rPr>
          <w:rFonts w:cs="Calibri"/>
        </w:rPr>
      </w:pPr>
      <w:r w:rsidRPr="0084701C">
        <w:rPr>
          <w:rFonts w:cs="Calibri"/>
        </w:rPr>
        <w:t>§ 3º Não será obrigatória a execução orçamentária e financeira das emendas individuais que desatenderem os critérios estabelecidos nesta subseção, sendo os recursos correspondentes revertidos à reserva de contingência, os quais poderão ser utilizados pelo Poder Executivo para a abertura de créditos adicionais.</w:t>
      </w:r>
      <w:bookmarkStart w:id="0" w:name="_Hlk11050548"/>
    </w:p>
    <w:p w:rsidR="00A166E0" w:rsidRPr="0084701C" w:rsidRDefault="00A166E0" w:rsidP="00A166E0">
      <w:pPr>
        <w:spacing w:line="276" w:lineRule="auto"/>
        <w:jc w:val="both"/>
        <w:rPr>
          <w:rFonts w:cs="Calibri"/>
        </w:rPr>
      </w:pPr>
      <w:r>
        <w:rPr>
          <w:rFonts w:cs="Calibri"/>
        </w:rPr>
        <w:t xml:space="preserve"> </w:t>
      </w:r>
      <w:r>
        <w:rPr>
          <w:rFonts w:cs="Calibri"/>
        </w:rPr>
        <w:tab/>
        <w:t>Art. 38</w:t>
      </w:r>
      <w:r w:rsidRPr="0084701C">
        <w:rPr>
          <w:rFonts w:cs="Calibri"/>
        </w:rPr>
        <w:t>. Para fins do disposto no §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rsidR="00A166E0" w:rsidRPr="0084701C" w:rsidRDefault="00A166E0" w:rsidP="00A166E0">
      <w:pPr>
        <w:spacing w:line="276" w:lineRule="auto"/>
        <w:jc w:val="both"/>
        <w:rPr>
          <w:rFonts w:cs="Calibri"/>
        </w:rPr>
      </w:pPr>
      <w:r w:rsidRPr="0084701C">
        <w:rPr>
          <w:rFonts w:cs="Calibri"/>
        </w:rPr>
        <w:t>§ 1º Sem prejuízo de outros critérios e procedimentos adicionais que venham a ser estabelecidos em ato do Poder Executivo, são consideradas hipóteses de impedimentos de ordem técnica:</w:t>
      </w:r>
    </w:p>
    <w:p w:rsidR="00A166E0" w:rsidRPr="0084701C" w:rsidRDefault="00A166E0" w:rsidP="00A166E0">
      <w:pPr>
        <w:spacing w:line="276" w:lineRule="auto"/>
        <w:jc w:val="both"/>
        <w:rPr>
          <w:rFonts w:cs="Calibri"/>
        </w:rPr>
      </w:pPr>
      <w:r w:rsidRPr="0084701C">
        <w:rPr>
          <w:rFonts w:cs="Calibri"/>
        </w:rPr>
        <w:t xml:space="preserve"> </w:t>
      </w:r>
      <w:r w:rsidRPr="0084701C">
        <w:rPr>
          <w:rFonts w:cs="Calibri"/>
        </w:rPr>
        <w:tab/>
        <w:t>I - não indicação, pelo autor da emenda, quando for o caso, do beneficiário e respectivo valor;</w:t>
      </w:r>
    </w:p>
    <w:p w:rsidR="00A166E0" w:rsidRPr="0084701C" w:rsidRDefault="00A166E0" w:rsidP="00A166E0">
      <w:pPr>
        <w:spacing w:line="276" w:lineRule="auto"/>
        <w:jc w:val="both"/>
        <w:rPr>
          <w:rFonts w:cs="Calibri"/>
        </w:rPr>
      </w:pPr>
      <w:r w:rsidRPr="0084701C">
        <w:rPr>
          <w:rFonts w:cs="Calibri"/>
        </w:rPr>
        <w:t xml:space="preserve"> </w:t>
      </w:r>
      <w:r w:rsidRPr="0084701C">
        <w:rPr>
          <w:rFonts w:cs="Calibri"/>
        </w:rPr>
        <w:tab/>
        <w:t>II –no caso de emendas que proponham transferências de recursos sob a forma de subvenções, auxílios ou contribuições:</w:t>
      </w:r>
    </w:p>
    <w:p w:rsidR="00A166E0" w:rsidRPr="0084701C" w:rsidRDefault="00A166E0" w:rsidP="00A166E0">
      <w:pPr>
        <w:spacing w:line="276" w:lineRule="auto"/>
        <w:jc w:val="both"/>
        <w:rPr>
          <w:rFonts w:cs="Calibri"/>
        </w:rPr>
      </w:pPr>
      <w:r w:rsidRPr="0084701C">
        <w:rPr>
          <w:rFonts w:cs="Calibri"/>
        </w:rPr>
        <w:tab/>
        <w:t>a) não cumprimento pela entidade beneficiária, dos requisitos estabelecidos na Seção VII do Capítulo IV desta Lei;</w:t>
      </w:r>
    </w:p>
    <w:p w:rsidR="00A166E0" w:rsidRPr="0084701C" w:rsidRDefault="00A166E0" w:rsidP="00A166E0">
      <w:pPr>
        <w:spacing w:line="276" w:lineRule="auto"/>
        <w:jc w:val="both"/>
        <w:rPr>
          <w:rFonts w:cs="Calibri"/>
        </w:rPr>
      </w:pPr>
      <w:r w:rsidRPr="0084701C">
        <w:rPr>
          <w:rFonts w:cs="Calibri"/>
        </w:rPr>
        <w:t xml:space="preserve"> </w:t>
      </w:r>
      <w:r w:rsidRPr="0084701C">
        <w:rPr>
          <w:rFonts w:cs="Calibri"/>
        </w:rPr>
        <w:tab/>
        <w:t>b) ausência de pertinência temática entre o objeto proposto e a finalidade institucional da entidade beneficiária;</w:t>
      </w:r>
    </w:p>
    <w:p w:rsidR="00A166E0" w:rsidRPr="0084701C" w:rsidRDefault="00A166E0" w:rsidP="00A166E0">
      <w:pPr>
        <w:spacing w:line="276" w:lineRule="auto"/>
        <w:jc w:val="both"/>
        <w:rPr>
          <w:rFonts w:cs="Calibri"/>
        </w:rPr>
      </w:pPr>
      <w:r w:rsidRPr="0084701C">
        <w:rPr>
          <w:rFonts w:cs="Calibri"/>
        </w:rPr>
        <w:t xml:space="preserve"> </w:t>
      </w:r>
      <w:r w:rsidRPr="0084701C">
        <w:rPr>
          <w:rFonts w:cs="Calibri"/>
        </w:rPr>
        <w:tab/>
        <w:t>c) não apresentação de proposta ou plano de trabalho ou apresentação fora dos prazos previstos em regulamento;</w:t>
      </w:r>
    </w:p>
    <w:p w:rsidR="00A166E0" w:rsidRPr="0084701C" w:rsidRDefault="00A166E0" w:rsidP="00A166E0">
      <w:pPr>
        <w:spacing w:line="276" w:lineRule="auto"/>
        <w:jc w:val="both"/>
        <w:rPr>
          <w:rFonts w:cs="Calibri"/>
        </w:rPr>
      </w:pPr>
      <w:r w:rsidRPr="0084701C">
        <w:rPr>
          <w:rFonts w:cs="Calibri"/>
        </w:rPr>
        <w:lastRenderedPageBreak/>
        <w:tab/>
        <w:t>d) não realização de complementação ou ajustes solicitados em proposta ou plano de trabalho, bem como realização de complementação ou ajustes fora dos prazos previstos.</w:t>
      </w:r>
    </w:p>
    <w:p w:rsidR="00A166E0" w:rsidRPr="0084701C" w:rsidRDefault="00A166E0" w:rsidP="00A166E0">
      <w:pPr>
        <w:spacing w:line="276" w:lineRule="auto"/>
        <w:jc w:val="both"/>
        <w:rPr>
          <w:rFonts w:cs="Calibri"/>
        </w:rPr>
      </w:pPr>
      <w:r w:rsidRPr="0084701C">
        <w:rPr>
          <w:rFonts w:cs="Calibri"/>
        </w:rPr>
        <w:t xml:space="preserve"> </w:t>
      </w:r>
      <w:r w:rsidRPr="0084701C">
        <w:rPr>
          <w:rFonts w:cs="Calibri"/>
        </w:rPr>
        <w:tab/>
        <w:t>III -  desistência expressa do beneficiário da emenda;</w:t>
      </w:r>
    </w:p>
    <w:p w:rsidR="00A166E0" w:rsidRPr="0084701C" w:rsidRDefault="00A166E0" w:rsidP="00A166E0">
      <w:pPr>
        <w:spacing w:line="276" w:lineRule="auto"/>
        <w:jc w:val="both"/>
        <w:rPr>
          <w:rFonts w:cs="Calibri"/>
        </w:rPr>
      </w:pPr>
      <w:r w:rsidRPr="0084701C">
        <w:rPr>
          <w:rFonts w:cs="Calibri"/>
        </w:rPr>
        <w:t xml:space="preserve"> </w:t>
      </w:r>
      <w:r w:rsidRPr="0084701C">
        <w:rPr>
          <w:rFonts w:cs="Calibri"/>
        </w:rPr>
        <w:tab/>
        <w:t>IV - incompatibilidade do objeto da emenda com a finalidade do programa ou da ação orçamentária emendada;</w:t>
      </w:r>
    </w:p>
    <w:p w:rsidR="00A166E0" w:rsidRPr="0084701C" w:rsidRDefault="00A166E0" w:rsidP="00A166E0">
      <w:pPr>
        <w:spacing w:line="276" w:lineRule="auto"/>
        <w:jc w:val="both"/>
        <w:rPr>
          <w:rFonts w:cs="Calibri"/>
        </w:rPr>
      </w:pPr>
      <w:r w:rsidRPr="0084701C">
        <w:rPr>
          <w:rFonts w:cs="Calibri"/>
        </w:rPr>
        <w:t xml:space="preserve"> </w:t>
      </w:r>
      <w:r w:rsidRPr="0084701C">
        <w:rPr>
          <w:rFonts w:cs="Calibri"/>
        </w:rPr>
        <w:tab/>
        <w:t>V – no caso de emendas relativas à aquisição de equipamentos ou execução de obras ou instalações:</w:t>
      </w:r>
    </w:p>
    <w:p w:rsidR="00A166E0" w:rsidRPr="0084701C" w:rsidRDefault="00A166E0" w:rsidP="00A166E0">
      <w:pPr>
        <w:spacing w:line="276" w:lineRule="auto"/>
        <w:jc w:val="both"/>
        <w:rPr>
          <w:rFonts w:cs="Calibri"/>
        </w:rPr>
      </w:pPr>
      <w:r w:rsidRPr="0084701C">
        <w:rPr>
          <w:rFonts w:cs="Calibri"/>
        </w:rPr>
        <w:t xml:space="preserve"> </w:t>
      </w:r>
      <w:r w:rsidRPr="0084701C">
        <w:rPr>
          <w:rFonts w:cs="Calibri"/>
        </w:rPr>
        <w:tab/>
        <w:t xml:space="preserve"> 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rsidR="00A166E0" w:rsidRPr="0084701C" w:rsidRDefault="00A166E0" w:rsidP="00A166E0">
      <w:pPr>
        <w:spacing w:line="276" w:lineRule="auto"/>
        <w:jc w:val="both"/>
        <w:rPr>
          <w:rFonts w:cs="Calibri"/>
        </w:rPr>
      </w:pPr>
      <w:r w:rsidRPr="0084701C">
        <w:rPr>
          <w:rFonts w:cs="Calibri"/>
        </w:rPr>
        <w:t xml:space="preserve"> </w:t>
      </w:r>
      <w:r w:rsidRPr="0084701C">
        <w:rPr>
          <w:rFonts w:cs="Calibri"/>
        </w:rPr>
        <w:tab/>
        <w:t xml:space="preserve"> b) ausência de projeto de engenharia aprovado pelo órgão responsável, nos casos em que for necessário;</w:t>
      </w:r>
    </w:p>
    <w:p w:rsidR="00A166E0" w:rsidRPr="0084701C" w:rsidRDefault="00A166E0" w:rsidP="00A166E0">
      <w:pPr>
        <w:spacing w:line="276" w:lineRule="auto"/>
        <w:jc w:val="both"/>
        <w:rPr>
          <w:rFonts w:cs="Calibri"/>
        </w:rPr>
      </w:pPr>
      <w:r w:rsidRPr="0084701C">
        <w:rPr>
          <w:rFonts w:cs="Calibri"/>
        </w:rPr>
        <w:tab/>
        <w:t>c) a ausência de licença ambiental prévia, nos casos em que for necessária;</w:t>
      </w:r>
    </w:p>
    <w:p w:rsidR="00A166E0" w:rsidRPr="0084701C" w:rsidRDefault="00A166E0" w:rsidP="00A166E0">
      <w:pPr>
        <w:spacing w:line="276" w:lineRule="auto"/>
        <w:jc w:val="both"/>
        <w:rPr>
          <w:rFonts w:cs="Calibri"/>
        </w:rPr>
      </w:pPr>
      <w:r w:rsidRPr="0084701C">
        <w:rPr>
          <w:rFonts w:cs="Calibri"/>
        </w:rPr>
        <w:tab/>
        <w:t>d) não comprovação, por parte do órgão ou entidade beneficiada pela emenda, da capacidade de aportar recursos para manutenção e operação do empreendimento, após a sua conclusão;</w:t>
      </w:r>
    </w:p>
    <w:p w:rsidR="00A166E0" w:rsidRPr="0084701C" w:rsidRDefault="00A166E0" w:rsidP="00A166E0">
      <w:pPr>
        <w:spacing w:line="276" w:lineRule="auto"/>
        <w:jc w:val="both"/>
        <w:rPr>
          <w:rFonts w:cs="Calibri"/>
        </w:rPr>
      </w:pPr>
      <w:r w:rsidRPr="0084701C">
        <w:rPr>
          <w:rFonts w:cs="Calibri"/>
        </w:rPr>
        <w:t xml:space="preserve"> </w:t>
      </w:r>
      <w:r w:rsidRPr="0084701C">
        <w:rPr>
          <w:rFonts w:cs="Calibri"/>
        </w:rPr>
        <w:tab/>
        <w:t xml:space="preserve"> VI –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 </w:t>
      </w:r>
    </w:p>
    <w:p w:rsidR="00A166E0" w:rsidRPr="0084701C" w:rsidRDefault="00A166E0" w:rsidP="00A166E0">
      <w:pPr>
        <w:spacing w:line="276" w:lineRule="auto"/>
        <w:jc w:val="both"/>
        <w:rPr>
          <w:rFonts w:cs="Calibri"/>
        </w:rPr>
      </w:pPr>
      <w:r w:rsidRPr="0084701C">
        <w:rPr>
          <w:rFonts w:cs="Calibri"/>
        </w:rPr>
        <w:t xml:space="preserve"> </w:t>
      </w:r>
      <w:r w:rsidRPr="0084701C">
        <w:rPr>
          <w:rFonts w:cs="Calibri"/>
        </w:rPr>
        <w:tab/>
        <w:t>VII – a não indicação pelos autores da Reserva de Contingência referida no art. 35 desta Lei, como fonte de recursos para as  emendas individuais;</w:t>
      </w:r>
    </w:p>
    <w:p w:rsidR="00A166E0" w:rsidRPr="0084701C" w:rsidRDefault="00A166E0" w:rsidP="00A166E0">
      <w:pPr>
        <w:spacing w:line="276" w:lineRule="auto"/>
        <w:jc w:val="both"/>
        <w:rPr>
          <w:rFonts w:cs="Calibri"/>
        </w:rPr>
      </w:pPr>
      <w:r w:rsidRPr="0084701C">
        <w:rPr>
          <w:rFonts w:cs="Calibri"/>
        </w:rPr>
        <w:tab/>
        <w:t>§2º Não constitui impedimento de ordem técnica a indevida classificação de modalidade de aplicação e elemento de despesa, cabendo ao Poder Executivo realizar os ajustes necessários.</w:t>
      </w:r>
    </w:p>
    <w:p w:rsidR="00A166E0" w:rsidRPr="0084701C" w:rsidRDefault="00A166E0" w:rsidP="00A166E0">
      <w:pPr>
        <w:spacing w:line="276" w:lineRule="auto"/>
        <w:jc w:val="both"/>
        <w:rPr>
          <w:rFonts w:cs="Calibri"/>
        </w:rPr>
      </w:pPr>
      <w:r w:rsidRPr="0084701C">
        <w:rPr>
          <w:rFonts w:cs="Calibri"/>
        </w:rPr>
        <w:tab/>
        <w:t xml:space="preserve">§3º Em atendimento ao disposto no § 14 do art. 166 da Constituição, até </w:t>
      </w:r>
      <w:r>
        <w:rPr>
          <w:rFonts w:cs="Calibri"/>
        </w:rPr>
        <w:t>15</w:t>
      </w:r>
      <w:r w:rsidRPr="0084701C">
        <w:rPr>
          <w:rFonts w:cs="Calibri"/>
        </w:rPr>
        <w:t xml:space="preserve"> dias após a publicação da Lei Orçamentária, </w:t>
      </w:r>
      <w:r w:rsidRPr="0084701C">
        <w:rPr>
          <w:rFonts w:cs="Calibri"/>
          <w:bCs/>
        </w:rPr>
        <w:t>o Poder Executivo estabelecerá, em decreto,</w:t>
      </w:r>
      <w:r w:rsidRPr="0084701C">
        <w:rPr>
          <w:rFonts w:cs="Calibri"/>
        </w:rPr>
        <w:t xml:space="preserve"> o cronograma para análise e verificação de eventuais impedimentos das programações aprovadas pelo Legislativo e demais procedimentos necessários à viabilização da execução das emendas de que trata esta subseção.</w:t>
      </w:r>
    </w:p>
    <w:p w:rsidR="00A166E0" w:rsidRPr="0084701C" w:rsidRDefault="00A166E0" w:rsidP="00A166E0">
      <w:pPr>
        <w:spacing w:line="276" w:lineRule="auto"/>
        <w:jc w:val="both"/>
        <w:rPr>
          <w:rFonts w:cs="Calibri"/>
        </w:rPr>
      </w:pPr>
      <w:r w:rsidRPr="0084701C">
        <w:rPr>
          <w:rFonts w:cs="Calibri"/>
        </w:rPr>
        <w:t xml:space="preserve">§ 4º Inexistindo impedimento de ordem técnica ou tão logo o óbice seja superado, os órgãos e as unidades deverão, nos termos do Decreto referido do parágrafo anterior, adotar os meios e </w:t>
      </w:r>
      <w:r w:rsidRPr="0084701C">
        <w:rPr>
          <w:rFonts w:cs="Calibri"/>
        </w:rPr>
        <w:lastRenderedPageBreak/>
        <w:t>as medidas necessários à execução das programações, observados os limites da programação orçamentária e financeira vigente.</w:t>
      </w:r>
    </w:p>
    <w:p w:rsidR="00A166E0" w:rsidRPr="0084701C" w:rsidRDefault="00A166E0" w:rsidP="00A166E0">
      <w:pPr>
        <w:spacing w:line="276" w:lineRule="auto"/>
        <w:jc w:val="both"/>
        <w:rPr>
          <w:rFonts w:cs="Calibri"/>
        </w:rPr>
      </w:pPr>
      <w:r w:rsidRPr="0084701C">
        <w:rPr>
          <w:rFonts w:cs="Calibri"/>
        </w:rPr>
        <w:t xml:space="preserve">§ 5º As dotações orçamentárias relativas às emendas individuais que permanecerem com impedimento técnico insuperável após </w:t>
      </w:r>
      <w:r>
        <w:rPr>
          <w:rFonts w:cs="Calibri"/>
        </w:rPr>
        <w:t>31</w:t>
      </w:r>
      <w:r w:rsidRPr="0084701C">
        <w:rPr>
          <w:rFonts w:cs="Calibri"/>
        </w:rPr>
        <w:t xml:space="preserve"> de </w:t>
      </w:r>
      <w:r>
        <w:rPr>
          <w:rFonts w:cs="Calibri"/>
        </w:rPr>
        <w:t>outubro</w:t>
      </w:r>
      <w:r w:rsidRPr="0084701C">
        <w:rPr>
          <w:rFonts w:cs="Calibri"/>
        </w:rPr>
        <w:t xml:space="preserve"> de 202</w:t>
      </w:r>
      <w:r>
        <w:rPr>
          <w:rFonts w:cs="Calibri"/>
        </w:rPr>
        <w:t>6</w:t>
      </w:r>
      <w:r w:rsidRPr="0084701C">
        <w:rPr>
          <w:rFonts w:cs="Calibri"/>
        </w:rPr>
        <w:t>, poderão ser utilizadas pelo Poder Executivo como fonte de recursos para a abertura de créditos adicionais, na forma da Lei Federal nº 4.320/1964.</w:t>
      </w:r>
    </w:p>
    <w:p w:rsidR="00A166E0" w:rsidRPr="0084701C" w:rsidRDefault="00A166E0" w:rsidP="00A166E0">
      <w:pPr>
        <w:spacing w:line="276" w:lineRule="auto"/>
        <w:jc w:val="both"/>
        <w:rPr>
          <w:rFonts w:cs="Calibri"/>
        </w:rPr>
      </w:pPr>
      <w:r w:rsidRPr="0084701C">
        <w:rPr>
          <w:rFonts w:cs="Calibri"/>
        </w:rPr>
        <w:t>§ 6º As justificativas para a inexecução das programações orçamentárias das emendas individuais comporão o relatório de avaliação das metas fiscais do último quadrimestre do exercício, a ser apresentado em audiência pública na forma do art. 25 desta Lei.</w:t>
      </w:r>
    </w:p>
    <w:p w:rsidR="00A166E0" w:rsidRPr="0084701C" w:rsidRDefault="00A166E0" w:rsidP="00A166E0">
      <w:pPr>
        <w:spacing w:line="276" w:lineRule="auto"/>
        <w:jc w:val="both"/>
        <w:rPr>
          <w:rFonts w:cs="Calibri"/>
        </w:rPr>
      </w:pPr>
      <w:bookmarkStart w:id="1" w:name="_Hlk11050588"/>
      <w:bookmarkEnd w:id="0"/>
      <w:r>
        <w:rPr>
          <w:rFonts w:cs="Calibri"/>
        </w:rPr>
        <w:t>Art. 39</w:t>
      </w:r>
      <w:r w:rsidRPr="0084701C">
        <w:rPr>
          <w:rFonts w:cs="Calibri"/>
        </w:rPr>
        <w:t>.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bookmarkEnd w:id="1"/>
    <w:p w:rsidR="00A166E0" w:rsidRPr="00F711CF" w:rsidRDefault="00A166E0" w:rsidP="00F711CF">
      <w:pPr>
        <w:spacing w:line="276" w:lineRule="auto"/>
        <w:jc w:val="both"/>
        <w:rPr>
          <w:rFonts w:cs="Calibri"/>
        </w:rPr>
      </w:pPr>
      <w:r w:rsidRPr="0084701C">
        <w:rPr>
          <w:rFonts w:cs="Calibri"/>
        </w:rPr>
        <w:t xml:space="preserve"> </w:t>
      </w:r>
      <w:r w:rsidRPr="0084701C">
        <w:rPr>
          <w:rFonts w:cs="Calibri"/>
        </w:rPr>
        <w:tab/>
        <w:t>Parágrafo único.  Os relatórios referidos no caput deste artigo, deverão detalhar, no mínimo, a relação das emendas aprovadas, o autor, a classificação, a ação orçamentária, bem como os respectivos valores aprova</w:t>
      </w:r>
      <w:r w:rsidR="00F711CF">
        <w:rPr>
          <w:rFonts w:cs="Calibri"/>
        </w:rPr>
        <w:t>dos e executada</w:t>
      </w:r>
    </w:p>
    <w:p w:rsidR="00A166E0" w:rsidRPr="009B2362" w:rsidRDefault="00A166E0" w:rsidP="00F711CF">
      <w:pPr>
        <w:jc w:val="both"/>
        <w:rPr>
          <w:b/>
          <w:u w:val="single"/>
        </w:rPr>
      </w:pPr>
    </w:p>
    <w:p w:rsidR="00E715F4" w:rsidRPr="009A5DDE" w:rsidRDefault="00F711CF" w:rsidP="00E715F4">
      <w:pPr>
        <w:jc w:val="both"/>
      </w:pPr>
      <w:r>
        <w:t xml:space="preserve">                        </w:t>
      </w:r>
      <w:r w:rsidR="000D26BE" w:rsidRPr="009A5DDE">
        <w:t>P</w:t>
      </w:r>
      <w:r w:rsidR="002C3987">
        <w:t>lenário A</w:t>
      </w:r>
      <w:r w:rsidR="0069509F">
        <w:t xml:space="preserve">demir Luiz Caumo, </w:t>
      </w:r>
      <w:r w:rsidR="00A166E0">
        <w:t>em 22 de setembro</w:t>
      </w:r>
      <w:r w:rsidR="009B2362">
        <w:t xml:space="preserve"> </w:t>
      </w:r>
      <w:r w:rsidR="00117CA7">
        <w:t xml:space="preserve"> de</w:t>
      </w:r>
      <w:r w:rsidR="00FC1569">
        <w:t xml:space="preserve"> 2025</w:t>
      </w:r>
      <w:r w:rsidR="000D26BE" w:rsidRPr="009A5DDE">
        <w:t>.</w:t>
      </w:r>
    </w:p>
    <w:p w:rsidR="00E715F4" w:rsidRPr="009A5DDE" w:rsidRDefault="00E715F4" w:rsidP="00E715F4"/>
    <w:p w:rsidR="00E715F4" w:rsidRPr="009A5DDE" w:rsidRDefault="00A166E0" w:rsidP="00E715F4">
      <w:r>
        <w:t>Marino João Bozetti –Progressista</w:t>
      </w:r>
      <w:r w:rsidR="00585395">
        <w:t>s</w:t>
      </w:r>
    </w:p>
    <w:p w:rsidR="000264B9" w:rsidRDefault="000264B9" w:rsidP="009A5DDE"/>
    <w:p w:rsidR="000264B9" w:rsidRDefault="000264B9" w:rsidP="009A5DDE">
      <w:r>
        <w:t>Marildo Gottardi – Progressistas</w:t>
      </w:r>
    </w:p>
    <w:p w:rsidR="000264B9" w:rsidRDefault="000264B9" w:rsidP="009A5DDE"/>
    <w:p w:rsidR="002C3987" w:rsidRDefault="00A166E0" w:rsidP="002C3987">
      <w:r>
        <w:t>Ronaldo Palochi– MDB</w:t>
      </w:r>
    </w:p>
    <w:p w:rsidR="009A5DDE" w:rsidRDefault="009A5DDE" w:rsidP="009A5DDE"/>
    <w:p w:rsidR="00037CED" w:rsidRDefault="002077D8" w:rsidP="002077D8">
      <w:r w:rsidRPr="00D4042E">
        <w:rPr>
          <w:rFonts w:ascii="Courier New" w:hAnsi="Courier New"/>
          <w:b/>
          <w:bCs/>
          <w:color w:val="000000" w:themeColor="text1"/>
        </w:rPr>
        <w:tab/>
      </w:r>
      <w:r w:rsidRPr="00D4042E">
        <w:rPr>
          <w:rFonts w:ascii="Courier New" w:hAnsi="Courier New"/>
          <w:b/>
          <w:bCs/>
          <w:color w:val="000000" w:themeColor="text1"/>
        </w:rPr>
        <w:tab/>
      </w:r>
      <w:r w:rsidRPr="00D4042E">
        <w:rPr>
          <w:rFonts w:ascii="Courier New" w:hAnsi="Courier New"/>
          <w:b/>
          <w:bCs/>
          <w:color w:val="000000" w:themeColor="text1"/>
        </w:rPr>
        <w:tab/>
      </w:r>
      <w:r w:rsidRPr="00D4042E">
        <w:rPr>
          <w:rFonts w:ascii="Courier New" w:hAnsi="Courier New"/>
          <w:b/>
          <w:bCs/>
          <w:color w:val="000000" w:themeColor="text1"/>
        </w:rPr>
        <w:tab/>
      </w:r>
      <w:r w:rsidRPr="00D4042E">
        <w:rPr>
          <w:rFonts w:ascii="Courier New" w:hAnsi="Courier New"/>
          <w:b/>
          <w:bCs/>
          <w:color w:val="000000" w:themeColor="text1"/>
        </w:rPr>
        <w:tab/>
      </w:r>
      <w:r w:rsidRPr="00D4042E">
        <w:rPr>
          <w:rFonts w:ascii="Courier New" w:hAnsi="Courier New"/>
          <w:b/>
          <w:bCs/>
          <w:color w:val="000000" w:themeColor="text1"/>
        </w:rPr>
        <w:tab/>
      </w:r>
    </w:p>
    <w:sectPr w:rsidR="00037CED" w:rsidSect="001A5B27">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555" w:rsidRDefault="004E0555" w:rsidP="00AE66EB">
      <w:pPr>
        <w:spacing w:after="0" w:line="240" w:lineRule="auto"/>
      </w:pPr>
      <w:r>
        <w:separator/>
      </w:r>
    </w:p>
  </w:endnote>
  <w:endnote w:type="continuationSeparator" w:id="0">
    <w:p w:rsidR="004E0555" w:rsidRDefault="004E0555" w:rsidP="00AE66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555" w:rsidRDefault="004E0555" w:rsidP="00AE66EB">
      <w:pPr>
        <w:spacing w:after="0" w:line="240" w:lineRule="auto"/>
      </w:pPr>
      <w:r>
        <w:separator/>
      </w:r>
    </w:p>
  </w:footnote>
  <w:footnote w:type="continuationSeparator" w:id="0">
    <w:p w:rsidR="004E0555" w:rsidRDefault="004E0555" w:rsidP="00AE66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EB" w:rsidRPr="00C119D5" w:rsidRDefault="00AE66EB" w:rsidP="00AE66EB">
    <w:pPr>
      <w:ind w:hanging="993"/>
    </w:pPr>
    <w:r w:rsidRPr="00497EFA">
      <w:rPr>
        <w:noProof/>
        <w:lang w:eastAsia="pt-BR"/>
      </w:rPr>
      <w:drawing>
        <wp:anchor distT="0" distB="0" distL="114300" distR="114300" simplePos="0" relativeHeight="251659264" behindDoc="0" locked="0" layoutInCell="1" allowOverlap="1">
          <wp:simplePos x="0" y="0"/>
          <wp:positionH relativeFrom="column">
            <wp:posOffset>1979875</wp:posOffset>
          </wp:positionH>
          <wp:positionV relativeFrom="paragraph">
            <wp:posOffset>-143758</wp:posOffset>
          </wp:positionV>
          <wp:extent cx="1194955" cy="883227"/>
          <wp:effectExtent l="0" t="0" r="5715" b="0"/>
          <wp:wrapNone/>
          <wp:docPr id="6" name="Imagem 6" descr="C:\Users\Usuario\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download.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4955" cy="883227"/>
                  </a:xfrm>
                  <a:prstGeom prst="rect">
                    <a:avLst/>
                  </a:prstGeom>
                  <a:noFill/>
                  <a:ln>
                    <a:noFill/>
                  </a:ln>
                </pic:spPr>
              </pic:pic>
            </a:graphicData>
          </a:graphic>
        </wp:anchor>
      </w:drawing>
    </w:r>
  </w:p>
  <w:p w:rsidR="00AE66EB" w:rsidRPr="00C119D5" w:rsidRDefault="00AE66EB" w:rsidP="00AE66EB">
    <w:pPr>
      <w:ind w:hanging="993"/>
    </w:pPr>
  </w:p>
  <w:p w:rsidR="00AE66EB" w:rsidRPr="00C119D5" w:rsidRDefault="00AE66EB" w:rsidP="00AE66EB">
    <w:pPr>
      <w:ind w:hanging="993"/>
    </w:pPr>
  </w:p>
  <w:p w:rsidR="00AE66EB" w:rsidRPr="008850BC" w:rsidRDefault="00AE66EB" w:rsidP="00AE66EB">
    <w:pPr>
      <w:ind w:hanging="993"/>
      <w:jc w:val="center"/>
      <w:rPr>
        <w:rFonts w:cs="Aharoni"/>
      </w:rPr>
    </w:pPr>
    <w:r w:rsidRPr="008850BC">
      <w:rPr>
        <w:rFonts w:cs="Aharoni"/>
      </w:rPr>
      <w:t>CÂ</w:t>
    </w:r>
    <w:r>
      <w:rPr>
        <w:rFonts w:cs="Aharoni"/>
      </w:rPr>
      <w:t>MARA DE VEREADORES DO MUNICÍPIO</w:t>
    </w:r>
    <w:r w:rsidRPr="008850BC">
      <w:rPr>
        <w:rFonts w:cs="Aharoni"/>
      </w:rPr>
      <w:t xml:space="preserve"> DE PROGRESSO-RS</w:t>
    </w:r>
  </w:p>
  <w:p w:rsidR="00AE66EB" w:rsidRDefault="00AE66E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6282"/>
    <w:multiLevelType w:val="multilevel"/>
    <w:tmpl w:val="EF66AE56"/>
    <w:lvl w:ilvl="0">
      <w:start w:val="1"/>
      <w:numFmt w:val="decimal"/>
      <w:lvlText w:val="%1"/>
      <w:lvlJc w:val="left"/>
      <w:pPr>
        <w:ind w:left="540" w:hanging="540"/>
      </w:pPr>
      <w:rPr>
        <w:rFonts w:hint="default"/>
      </w:rPr>
    </w:lvl>
    <w:lvl w:ilvl="1">
      <w:start w:val="1"/>
      <w:numFmt w:val="lowerLetter"/>
      <w:lvlText w:val="%2)"/>
      <w:lvlJc w:val="left"/>
      <w:pPr>
        <w:ind w:left="720" w:hanging="720"/>
      </w:pPr>
      <w:rPr>
        <w:rFonts w:ascii="Courier New" w:eastAsia="Times New Roman" w:hAnsi="Courier New"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4CC67C40"/>
    <w:multiLevelType w:val="singleLevel"/>
    <w:tmpl w:val="E264A186"/>
    <w:lvl w:ilvl="0">
      <w:start w:val="1"/>
      <w:numFmt w:val="lowerLetter"/>
      <w:lvlText w:val="%1)"/>
      <w:lvlJc w:val="left"/>
      <w:pPr>
        <w:tabs>
          <w:tab w:val="num" w:pos="1851"/>
        </w:tabs>
        <w:ind w:left="1851" w:hanging="435"/>
      </w:pPr>
      <w:rPr>
        <w:rFonts w:hint="default"/>
      </w:rPr>
    </w:lvl>
  </w:abstractNum>
  <w:abstractNum w:abstractNumId="2">
    <w:nsid w:val="5CCA06FA"/>
    <w:multiLevelType w:val="hybridMultilevel"/>
    <w:tmpl w:val="39004686"/>
    <w:lvl w:ilvl="0" w:tplc="081A0A94">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715F4"/>
    <w:rsid w:val="00000F0A"/>
    <w:rsid w:val="000264B9"/>
    <w:rsid w:val="00037CED"/>
    <w:rsid w:val="00053325"/>
    <w:rsid w:val="000D26BE"/>
    <w:rsid w:val="000E21B2"/>
    <w:rsid w:val="000F0826"/>
    <w:rsid w:val="000F6CCD"/>
    <w:rsid w:val="001020DD"/>
    <w:rsid w:val="00117CA7"/>
    <w:rsid w:val="001A255E"/>
    <w:rsid w:val="001A2E76"/>
    <w:rsid w:val="001A5B27"/>
    <w:rsid w:val="001D2B2F"/>
    <w:rsid w:val="002077D8"/>
    <w:rsid w:val="00216912"/>
    <w:rsid w:val="00227396"/>
    <w:rsid w:val="002C3987"/>
    <w:rsid w:val="003015AB"/>
    <w:rsid w:val="003246D0"/>
    <w:rsid w:val="003B0560"/>
    <w:rsid w:val="00422195"/>
    <w:rsid w:val="004E0555"/>
    <w:rsid w:val="00530525"/>
    <w:rsid w:val="00564ADF"/>
    <w:rsid w:val="00577C24"/>
    <w:rsid w:val="00585395"/>
    <w:rsid w:val="005D39F9"/>
    <w:rsid w:val="0061483A"/>
    <w:rsid w:val="006341D1"/>
    <w:rsid w:val="00635226"/>
    <w:rsid w:val="00662284"/>
    <w:rsid w:val="006628FF"/>
    <w:rsid w:val="006833EC"/>
    <w:rsid w:val="0069509F"/>
    <w:rsid w:val="006A7C83"/>
    <w:rsid w:val="006D51EB"/>
    <w:rsid w:val="006F7FF7"/>
    <w:rsid w:val="00716937"/>
    <w:rsid w:val="007675A9"/>
    <w:rsid w:val="0078694B"/>
    <w:rsid w:val="007C69F3"/>
    <w:rsid w:val="008016D0"/>
    <w:rsid w:val="008229C3"/>
    <w:rsid w:val="00827CF4"/>
    <w:rsid w:val="00851D61"/>
    <w:rsid w:val="00913A31"/>
    <w:rsid w:val="009A5DDE"/>
    <w:rsid w:val="009B2362"/>
    <w:rsid w:val="00A166E0"/>
    <w:rsid w:val="00A6054E"/>
    <w:rsid w:val="00A937EB"/>
    <w:rsid w:val="00A95BEE"/>
    <w:rsid w:val="00AA291A"/>
    <w:rsid w:val="00AA7DD8"/>
    <w:rsid w:val="00AE66EB"/>
    <w:rsid w:val="00AF7845"/>
    <w:rsid w:val="00B13D2D"/>
    <w:rsid w:val="00B507A0"/>
    <w:rsid w:val="00B748DE"/>
    <w:rsid w:val="00B851C4"/>
    <w:rsid w:val="00BF6975"/>
    <w:rsid w:val="00C475AE"/>
    <w:rsid w:val="00C918FE"/>
    <w:rsid w:val="00CB3DA2"/>
    <w:rsid w:val="00D61A99"/>
    <w:rsid w:val="00D70F47"/>
    <w:rsid w:val="00DB6BC3"/>
    <w:rsid w:val="00DD6C95"/>
    <w:rsid w:val="00DE3D5B"/>
    <w:rsid w:val="00DF2225"/>
    <w:rsid w:val="00E2380A"/>
    <w:rsid w:val="00E339D8"/>
    <w:rsid w:val="00E44BCD"/>
    <w:rsid w:val="00E57572"/>
    <w:rsid w:val="00E57829"/>
    <w:rsid w:val="00E715F4"/>
    <w:rsid w:val="00E84E3B"/>
    <w:rsid w:val="00ED412D"/>
    <w:rsid w:val="00F22F5C"/>
    <w:rsid w:val="00F34477"/>
    <w:rsid w:val="00F711CF"/>
    <w:rsid w:val="00FC15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B27"/>
  </w:style>
  <w:style w:type="paragraph" w:styleId="Ttulo1">
    <w:name w:val="heading 1"/>
    <w:basedOn w:val="Normal"/>
    <w:next w:val="Normal"/>
    <w:link w:val="Ttulo1Char"/>
    <w:qFormat/>
    <w:rsid w:val="002077D8"/>
    <w:pPr>
      <w:keepNext/>
      <w:spacing w:after="0" w:line="240" w:lineRule="auto"/>
      <w:jc w:val="both"/>
      <w:outlineLvl w:val="0"/>
    </w:pPr>
    <w:rPr>
      <w:rFonts w:ascii="Courier New" w:eastAsia="Times New Roman" w:hAnsi="Courier New" w:cs="Times New Roman"/>
      <w:b/>
      <w:sz w:val="24"/>
      <w:szCs w:val="20"/>
      <w:lang w:val="pt-PT" w:eastAsia="pt-BR"/>
    </w:rPr>
  </w:style>
  <w:style w:type="paragraph" w:styleId="Ttulo2">
    <w:name w:val="heading 2"/>
    <w:basedOn w:val="Normal"/>
    <w:next w:val="Normal"/>
    <w:link w:val="Ttulo2Char"/>
    <w:qFormat/>
    <w:rsid w:val="002077D8"/>
    <w:pPr>
      <w:keepNext/>
      <w:spacing w:after="0" w:line="240" w:lineRule="auto"/>
      <w:jc w:val="center"/>
      <w:outlineLvl w:val="1"/>
    </w:pPr>
    <w:rPr>
      <w:rFonts w:ascii="Courier New" w:eastAsia="Times New Roman" w:hAnsi="Courier New" w:cs="Times New Roman"/>
      <w:b/>
      <w:sz w:val="24"/>
      <w:szCs w:val="20"/>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352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5226"/>
    <w:rPr>
      <w:rFonts w:ascii="Segoe UI" w:hAnsi="Segoe UI" w:cs="Segoe UI"/>
      <w:sz w:val="18"/>
      <w:szCs w:val="18"/>
    </w:rPr>
  </w:style>
  <w:style w:type="paragraph" w:styleId="SemEspaamento">
    <w:name w:val="No Spacing"/>
    <w:uiPriority w:val="1"/>
    <w:qFormat/>
    <w:rsid w:val="00635226"/>
    <w:pPr>
      <w:spacing w:after="0" w:line="240" w:lineRule="auto"/>
    </w:pPr>
  </w:style>
  <w:style w:type="paragraph" w:styleId="Cabealho">
    <w:name w:val="header"/>
    <w:basedOn w:val="Normal"/>
    <w:link w:val="CabealhoChar"/>
    <w:uiPriority w:val="99"/>
    <w:unhideWhenUsed/>
    <w:rsid w:val="00AE66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66EB"/>
  </w:style>
  <w:style w:type="paragraph" w:styleId="Rodap">
    <w:name w:val="footer"/>
    <w:basedOn w:val="Normal"/>
    <w:link w:val="RodapChar"/>
    <w:uiPriority w:val="99"/>
    <w:unhideWhenUsed/>
    <w:rsid w:val="00AE66EB"/>
    <w:pPr>
      <w:tabs>
        <w:tab w:val="center" w:pos="4252"/>
        <w:tab w:val="right" w:pos="8504"/>
      </w:tabs>
      <w:spacing w:after="0" w:line="240" w:lineRule="auto"/>
    </w:pPr>
  </w:style>
  <w:style w:type="character" w:customStyle="1" w:styleId="RodapChar">
    <w:name w:val="Rodapé Char"/>
    <w:basedOn w:val="Fontepargpadro"/>
    <w:link w:val="Rodap"/>
    <w:uiPriority w:val="99"/>
    <w:rsid w:val="00AE66EB"/>
  </w:style>
  <w:style w:type="character" w:customStyle="1" w:styleId="Ttulo1Char">
    <w:name w:val="Título 1 Char"/>
    <w:basedOn w:val="Fontepargpadro"/>
    <w:link w:val="Ttulo1"/>
    <w:rsid w:val="002077D8"/>
    <w:rPr>
      <w:rFonts w:ascii="Courier New" w:eastAsia="Times New Roman" w:hAnsi="Courier New" w:cs="Times New Roman"/>
      <w:b/>
      <w:sz w:val="24"/>
      <w:szCs w:val="20"/>
      <w:lang w:val="pt-PT" w:eastAsia="pt-BR"/>
    </w:rPr>
  </w:style>
  <w:style w:type="character" w:customStyle="1" w:styleId="Ttulo2Char">
    <w:name w:val="Título 2 Char"/>
    <w:basedOn w:val="Fontepargpadro"/>
    <w:link w:val="Ttulo2"/>
    <w:rsid w:val="002077D8"/>
    <w:rPr>
      <w:rFonts w:ascii="Courier New" w:eastAsia="Times New Roman" w:hAnsi="Courier New" w:cs="Times New Roman"/>
      <w:b/>
      <w:sz w:val="24"/>
      <w:szCs w:val="20"/>
      <w:lang w:val="pt-PT" w:eastAsia="pt-BR"/>
    </w:rPr>
  </w:style>
  <w:style w:type="paragraph" w:styleId="Recuodecorpodetexto2">
    <w:name w:val="Body Text Indent 2"/>
    <w:basedOn w:val="Normal"/>
    <w:link w:val="Recuodecorpodetexto2Char"/>
    <w:semiHidden/>
    <w:rsid w:val="002077D8"/>
    <w:pPr>
      <w:spacing w:after="0" w:line="240" w:lineRule="auto"/>
      <w:ind w:left="708" w:firstLine="708"/>
      <w:jc w:val="both"/>
    </w:pPr>
    <w:rPr>
      <w:rFonts w:ascii="Courier New" w:eastAsia="Times New Roman" w:hAnsi="Courier New" w:cs="Times New Roman"/>
      <w:sz w:val="24"/>
      <w:szCs w:val="20"/>
      <w:lang w:val="pt-PT" w:eastAsia="pt-BR"/>
    </w:rPr>
  </w:style>
  <w:style w:type="character" w:customStyle="1" w:styleId="Recuodecorpodetexto2Char">
    <w:name w:val="Recuo de corpo de texto 2 Char"/>
    <w:basedOn w:val="Fontepargpadro"/>
    <w:link w:val="Recuodecorpodetexto2"/>
    <w:semiHidden/>
    <w:rsid w:val="002077D8"/>
    <w:rPr>
      <w:rFonts w:ascii="Courier New" w:eastAsia="Times New Roman" w:hAnsi="Courier New" w:cs="Times New Roman"/>
      <w:sz w:val="24"/>
      <w:szCs w:val="20"/>
      <w:lang w:val="pt-PT" w:eastAsia="pt-BR"/>
    </w:rPr>
  </w:style>
  <w:style w:type="paragraph" w:styleId="PargrafodaLista">
    <w:name w:val="List Paragraph"/>
    <w:basedOn w:val="Normal"/>
    <w:uiPriority w:val="34"/>
    <w:qFormat/>
    <w:rsid w:val="002077D8"/>
    <w:pPr>
      <w:spacing w:after="0" w:line="240" w:lineRule="auto"/>
      <w:ind w:left="720"/>
      <w:contextualSpacing/>
    </w:pPr>
    <w:rPr>
      <w:rFonts w:ascii="Times New Roman" w:eastAsia="Times New Roman" w:hAnsi="Times New Roman" w:cs="Times New Roman"/>
      <w:sz w:val="20"/>
      <w:szCs w:val="20"/>
      <w:lang w:val="pt-PT"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1287</Words>
  <Characters>6955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Micro</cp:lastModifiedBy>
  <cp:revision>4</cp:revision>
  <cp:lastPrinted>2025-09-22T21:31:00Z</cp:lastPrinted>
  <dcterms:created xsi:type="dcterms:W3CDTF">2025-09-22T21:32:00Z</dcterms:created>
  <dcterms:modified xsi:type="dcterms:W3CDTF">2025-09-23T13:15:00Z</dcterms:modified>
</cp:coreProperties>
</file>